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433D" w14:textId="77777777" w:rsidR="00D4084E" w:rsidRDefault="00D4084E" w:rsidP="00D4084E"/>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19"/>
        <w:gridCol w:w="2161"/>
        <w:gridCol w:w="1799"/>
        <w:gridCol w:w="1279"/>
        <w:gridCol w:w="3152"/>
      </w:tblGrid>
      <w:tr w:rsidR="00D4084E" w:rsidRPr="00D4084E" w14:paraId="68C9D901" w14:textId="77777777" w:rsidTr="00D4084E">
        <w:trPr>
          <w:tblHeader/>
        </w:trPr>
        <w:tc>
          <w:tcPr>
            <w:tcW w:w="5000" w:type="pct"/>
            <w:gridSpan w:val="5"/>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hideMark/>
          </w:tcPr>
          <w:p w14:paraId="6F8552E4" w14:textId="77777777" w:rsidR="00D4084E" w:rsidRPr="00D4084E" w:rsidRDefault="00D4084E" w:rsidP="00D4084E">
            <w:pPr>
              <w:rPr>
                <w:b/>
                <w:bCs/>
              </w:rPr>
            </w:pPr>
            <w:r w:rsidRPr="00D4084E">
              <w:rPr>
                <w:b/>
                <w:bCs/>
              </w:rPr>
              <w:t>Functionaries</w:t>
            </w:r>
          </w:p>
        </w:tc>
      </w:tr>
      <w:tr w:rsidR="00D4084E" w:rsidRPr="00D4084E" w14:paraId="23DFFF2B" w14:textId="77777777" w:rsidTr="00D4084E">
        <w:trPr>
          <w:tblHeader/>
        </w:trPr>
        <w:tc>
          <w:tcPr>
            <w:tcW w:w="387" w:type="pct"/>
            <w:tcBorders>
              <w:top w:val="single" w:sz="6" w:space="0" w:color="DDDDDD"/>
              <w:left w:val="single" w:sz="6" w:space="0" w:color="DDDDDD"/>
              <w:bottom w:val="single" w:sz="12" w:space="0" w:color="DDDDDD"/>
              <w:right w:val="single" w:sz="6" w:space="0" w:color="DDDDDD"/>
            </w:tcBorders>
            <w:shd w:val="clear" w:color="auto" w:fill="02263C"/>
            <w:tcMar>
              <w:top w:w="120" w:type="dxa"/>
              <w:left w:w="120" w:type="dxa"/>
              <w:bottom w:w="120" w:type="dxa"/>
              <w:right w:w="120" w:type="dxa"/>
            </w:tcMar>
            <w:vAlign w:val="bottom"/>
            <w:hideMark/>
          </w:tcPr>
          <w:p w14:paraId="2296F606" w14:textId="77777777" w:rsidR="00D4084E" w:rsidRPr="00D4084E" w:rsidRDefault="00D4084E" w:rsidP="00D4084E">
            <w:pPr>
              <w:rPr>
                <w:b/>
                <w:bCs/>
              </w:rPr>
            </w:pPr>
            <w:r w:rsidRPr="00D4084E">
              <w:rPr>
                <w:b/>
                <w:bCs/>
              </w:rPr>
              <w:t>Sl. No.</w:t>
            </w:r>
          </w:p>
        </w:tc>
        <w:tc>
          <w:tcPr>
            <w:tcW w:w="1259" w:type="pct"/>
            <w:tcBorders>
              <w:top w:val="single" w:sz="6" w:space="0" w:color="DDDDDD"/>
              <w:left w:val="single" w:sz="6" w:space="0" w:color="DDDDDD"/>
              <w:bottom w:val="single" w:sz="12" w:space="0" w:color="DDDDDD"/>
              <w:right w:val="single" w:sz="6" w:space="0" w:color="DDDDDD"/>
            </w:tcBorders>
            <w:shd w:val="clear" w:color="auto" w:fill="02263C"/>
            <w:tcMar>
              <w:top w:w="120" w:type="dxa"/>
              <w:left w:w="120" w:type="dxa"/>
              <w:bottom w:w="120" w:type="dxa"/>
              <w:right w:w="120" w:type="dxa"/>
            </w:tcMar>
            <w:vAlign w:val="bottom"/>
            <w:hideMark/>
          </w:tcPr>
          <w:p w14:paraId="146904EC" w14:textId="77777777" w:rsidR="00D4084E" w:rsidRPr="00D4084E" w:rsidRDefault="00D4084E" w:rsidP="00D4084E">
            <w:pPr>
              <w:rPr>
                <w:b/>
                <w:bCs/>
              </w:rPr>
            </w:pPr>
            <w:r w:rsidRPr="00D4084E">
              <w:rPr>
                <w:b/>
                <w:bCs/>
              </w:rPr>
              <w:t>Name</w:t>
            </w:r>
          </w:p>
        </w:tc>
        <w:tc>
          <w:tcPr>
            <w:tcW w:w="1024" w:type="pct"/>
            <w:tcBorders>
              <w:top w:val="single" w:sz="6" w:space="0" w:color="DDDDDD"/>
              <w:left w:val="single" w:sz="6" w:space="0" w:color="DDDDDD"/>
              <w:bottom w:val="single" w:sz="12" w:space="0" w:color="DDDDDD"/>
              <w:right w:val="single" w:sz="6" w:space="0" w:color="DDDDDD"/>
            </w:tcBorders>
            <w:shd w:val="clear" w:color="auto" w:fill="02263C"/>
            <w:tcMar>
              <w:top w:w="120" w:type="dxa"/>
              <w:left w:w="120" w:type="dxa"/>
              <w:bottom w:w="120" w:type="dxa"/>
              <w:right w:w="120" w:type="dxa"/>
            </w:tcMar>
            <w:vAlign w:val="bottom"/>
            <w:hideMark/>
          </w:tcPr>
          <w:p w14:paraId="1BEE82D1" w14:textId="77777777" w:rsidR="00D4084E" w:rsidRPr="00D4084E" w:rsidRDefault="00D4084E" w:rsidP="00D4084E">
            <w:pPr>
              <w:rPr>
                <w:b/>
                <w:bCs/>
              </w:rPr>
            </w:pPr>
            <w:r w:rsidRPr="00D4084E">
              <w:rPr>
                <w:b/>
                <w:bCs/>
              </w:rPr>
              <w:t>Responsibility</w:t>
            </w:r>
          </w:p>
        </w:tc>
        <w:tc>
          <w:tcPr>
            <w:tcW w:w="787" w:type="pct"/>
            <w:tcBorders>
              <w:top w:val="single" w:sz="6" w:space="0" w:color="DDDDDD"/>
              <w:left w:val="single" w:sz="6" w:space="0" w:color="DDDDDD"/>
              <w:bottom w:val="single" w:sz="12" w:space="0" w:color="DDDDDD"/>
              <w:right w:val="single" w:sz="6" w:space="0" w:color="DDDDDD"/>
            </w:tcBorders>
            <w:shd w:val="clear" w:color="auto" w:fill="02263C"/>
            <w:tcMar>
              <w:top w:w="120" w:type="dxa"/>
              <w:left w:w="120" w:type="dxa"/>
              <w:bottom w:w="120" w:type="dxa"/>
              <w:right w:w="120" w:type="dxa"/>
            </w:tcMar>
            <w:vAlign w:val="bottom"/>
            <w:hideMark/>
          </w:tcPr>
          <w:p w14:paraId="281D3E6E" w14:textId="77777777" w:rsidR="00D4084E" w:rsidRPr="00D4084E" w:rsidRDefault="00D4084E" w:rsidP="00D4084E">
            <w:pPr>
              <w:rPr>
                <w:b/>
                <w:bCs/>
              </w:rPr>
            </w:pPr>
            <w:r w:rsidRPr="00D4084E">
              <w:rPr>
                <w:b/>
                <w:bCs/>
              </w:rPr>
              <w:t>Phone No.</w:t>
            </w:r>
          </w:p>
        </w:tc>
        <w:tc>
          <w:tcPr>
            <w:tcW w:w="1543" w:type="pct"/>
            <w:tcBorders>
              <w:top w:val="single" w:sz="6" w:space="0" w:color="DDDDDD"/>
              <w:left w:val="single" w:sz="6" w:space="0" w:color="DDDDDD"/>
              <w:bottom w:val="single" w:sz="12" w:space="0" w:color="DDDDDD"/>
              <w:right w:val="single" w:sz="6" w:space="0" w:color="DDDDDD"/>
            </w:tcBorders>
            <w:shd w:val="clear" w:color="auto" w:fill="02263C"/>
            <w:tcMar>
              <w:top w:w="120" w:type="dxa"/>
              <w:left w:w="120" w:type="dxa"/>
              <w:bottom w:w="120" w:type="dxa"/>
              <w:right w:w="120" w:type="dxa"/>
            </w:tcMar>
            <w:vAlign w:val="bottom"/>
            <w:hideMark/>
          </w:tcPr>
          <w:p w14:paraId="04F0C5C6" w14:textId="77777777" w:rsidR="00D4084E" w:rsidRPr="00D4084E" w:rsidRDefault="00D4084E" w:rsidP="00D4084E">
            <w:pPr>
              <w:rPr>
                <w:b/>
                <w:bCs/>
              </w:rPr>
            </w:pPr>
            <w:r w:rsidRPr="00D4084E">
              <w:rPr>
                <w:b/>
                <w:bCs/>
              </w:rPr>
              <w:t>Email</w:t>
            </w:r>
          </w:p>
        </w:tc>
      </w:tr>
      <w:tr w:rsidR="00D4084E" w:rsidRPr="00D4084E" w14:paraId="1D05E0D5" w14:textId="77777777" w:rsidTr="00D4084E">
        <w:tc>
          <w:tcPr>
            <w:tcW w:w="38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34CDDF9" w14:textId="1232FBC0" w:rsidR="00D4084E" w:rsidRPr="00D4084E" w:rsidRDefault="00D4084E" w:rsidP="00D4084E">
            <w:pPr>
              <w:rPr>
                <w:b/>
                <w:bCs/>
              </w:rPr>
            </w:pPr>
            <w:r>
              <w:rPr>
                <w:b/>
                <w:bCs/>
              </w:rPr>
              <w:t>1</w:t>
            </w:r>
          </w:p>
        </w:tc>
        <w:tc>
          <w:tcPr>
            <w:tcW w:w="125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6EC92FE" w14:textId="5BFC2C34" w:rsidR="00D4084E" w:rsidRPr="00D4084E" w:rsidRDefault="00D4084E" w:rsidP="00D4084E">
            <w:r w:rsidRPr="00D4084E">
              <w:t xml:space="preserve">Dr. </w:t>
            </w:r>
            <w:r>
              <w:t>Puneet Sharma</w:t>
            </w:r>
          </w:p>
        </w:tc>
        <w:tc>
          <w:tcPr>
            <w:tcW w:w="1024"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CFE594" w14:textId="77777777" w:rsidR="00D4084E" w:rsidRPr="00D4084E" w:rsidRDefault="00D4084E" w:rsidP="00D4084E">
            <w:r w:rsidRPr="00D4084E">
              <w:t>Nodal Officer</w:t>
            </w:r>
          </w:p>
        </w:tc>
        <w:tc>
          <w:tcPr>
            <w:tcW w:w="78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A7274C" w14:textId="0AE52D57" w:rsidR="00D4084E" w:rsidRPr="00D4084E" w:rsidRDefault="00D4084E" w:rsidP="00D4084E">
            <w:r w:rsidRPr="00D4084E">
              <w:t>254</w:t>
            </w:r>
            <w:r>
              <w:t>926</w:t>
            </w:r>
          </w:p>
        </w:tc>
        <w:tc>
          <w:tcPr>
            <w:tcW w:w="154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D9B61DC" w14:textId="402518FF" w:rsidR="00D4084E" w:rsidRPr="00D4084E" w:rsidRDefault="00D4084E" w:rsidP="00D4084E">
            <w:r>
              <w:t>architect.puneet</w:t>
            </w:r>
            <w:r w:rsidRPr="00D4084E">
              <w:t>@nith.ac.in</w:t>
            </w:r>
          </w:p>
        </w:tc>
      </w:tr>
    </w:tbl>
    <w:p w14:paraId="27F6AF92" w14:textId="77777777" w:rsidR="00D4084E" w:rsidRDefault="00D4084E" w:rsidP="00D4084E"/>
    <w:p w14:paraId="2BE66978" w14:textId="77777777" w:rsidR="00D4084E" w:rsidRDefault="00D4084E" w:rsidP="00D4084E"/>
    <w:p w14:paraId="7014EBC2" w14:textId="77777777" w:rsidR="00D4084E" w:rsidRDefault="00D4084E" w:rsidP="00D4084E"/>
    <w:p w14:paraId="39429DBA" w14:textId="77777777" w:rsidR="00D4084E" w:rsidRDefault="00D4084E" w:rsidP="00D4084E"/>
    <w:p w14:paraId="4760CCAD" w14:textId="77777777" w:rsidR="00D4084E" w:rsidRDefault="00D4084E" w:rsidP="00D4084E"/>
    <w:p w14:paraId="6CF5C5DC" w14:textId="77777777" w:rsidR="00D4084E" w:rsidRDefault="00D4084E" w:rsidP="00D4084E"/>
    <w:p w14:paraId="46CF9007" w14:textId="77777777" w:rsidR="00D4084E" w:rsidRDefault="00D4084E" w:rsidP="00D4084E"/>
    <w:p w14:paraId="4374D7B7" w14:textId="77777777" w:rsidR="00D4084E" w:rsidRDefault="00D4084E" w:rsidP="00D4084E"/>
    <w:p w14:paraId="1742A532" w14:textId="77777777" w:rsidR="00D4084E" w:rsidRDefault="00D4084E" w:rsidP="00D4084E"/>
    <w:p w14:paraId="02CEC04A" w14:textId="77777777" w:rsidR="00D4084E" w:rsidRDefault="00D4084E" w:rsidP="00D4084E"/>
    <w:p w14:paraId="11F546EE" w14:textId="77777777" w:rsidR="00D4084E" w:rsidRDefault="00D4084E" w:rsidP="00D4084E"/>
    <w:p w14:paraId="10657849" w14:textId="77777777" w:rsidR="00D4084E" w:rsidRDefault="00D4084E" w:rsidP="00D4084E"/>
    <w:p w14:paraId="49DEED89" w14:textId="77777777" w:rsidR="00D4084E" w:rsidRDefault="00D4084E" w:rsidP="00D4084E"/>
    <w:p w14:paraId="5457D113" w14:textId="77777777" w:rsidR="00D4084E" w:rsidRDefault="00D4084E" w:rsidP="00D4084E"/>
    <w:p w14:paraId="416F2EDC" w14:textId="77777777" w:rsidR="00D4084E" w:rsidRDefault="00D4084E" w:rsidP="00D4084E"/>
    <w:p w14:paraId="0ED3F87D" w14:textId="77777777" w:rsidR="00D4084E" w:rsidRDefault="00D4084E" w:rsidP="00D4084E"/>
    <w:p w14:paraId="4D1705BF" w14:textId="77777777" w:rsidR="00D4084E" w:rsidRDefault="00D4084E" w:rsidP="00D4084E"/>
    <w:p w14:paraId="606AB58E" w14:textId="77777777" w:rsidR="00D4084E" w:rsidRDefault="00D4084E" w:rsidP="00D4084E"/>
    <w:p w14:paraId="0D8D4460" w14:textId="77777777" w:rsidR="00D4084E" w:rsidRDefault="00D4084E" w:rsidP="00D4084E"/>
    <w:p w14:paraId="7B525CA2" w14:textId="77777777" w:rsidR="00D4084E" w:rsidRDefault="00D4084E" w:rsidP="00D4084E"/>
    <w:p w14:paraId="438C4AEC" w14:textId="77777777" w:rsidR="00D4084E" w:rsidRDefault="00D4084E" w:rsidP="00D4084E"/>
    <w:p w14:paraId="6532C93A" w14:textId="293C53A8" w:rsidR="00D4084E" w:rsidRPr="00D4084E" w:rsidRDefault="00D4084E" w:rsidP="00D4084E">
      <w:pPr>
        <w:jc w:val="center"/>
        <w:rPr>
          <w:b/>
          <w:bCs/>
          <w:sz w:val="28"/>
          <w:szCs w:val="28"/>
        </w:rPr>
      </w:pPr>
      <w:r w:rsidRPr="00D4084E">
        <w:rPr>
          <w:b/>
          <w:bCs/>
          <w:sz w:val="28"/>
          <w:szCs w:val="28"/>
        </w:rPr>
        <w:lastRenderedPageBreak/>
        <w:t>PM-VIDYALAXMI SCHEME</w:t>
      </w:r>
    </w:p>
    <w:p w14:paraId="126E6B20" w14:textId="3500943C" w:rsidR="00D4084E" w:rsidRDefault="00D4084E" w:rsidP="00D4084E">
      <w:pPr>
        <w:jc w:val="both"/>
        <w:rPr>
          <w:sz w:val="22"/>
          <w:szCs w:val="22"/>
        </w:rPr>
      </w:pPr>
      <w:r w:rsidRPr="00D4084E">
        <w:rPr>
          <w:sz w:val="22"/>
          <w:szCs w:val="22"/>
        </w:rPr>
        <w:t xml:space="preserve">The Union Cabinet, chaired by Prime Minister Shri Narendra Modi, has approved PM Vidyalaxmi, a new Central Sector scheme that seeks to provide financial support to meritorious students so that financial constraints do not prevent anyone from pursuing higher studies. PM Vidyalaxmi is another key initiative stemming out of the National Education Policy, 2020, which had recommended that financial assistance should be made available to meritorious students through various measures in both public and private HEIs. Under the PM Vidyalaxmi scheme, any student who gets admission in quality Higher Education Institution (QHEIs) will be eligible to get collateral free, guarantor free loan from banks and financial institutions to cover full amount of tuition fees and other expenses related to the course. The scheme will be administered through a simple, transparent and </w:t>
      </w:r>
      <w:r w:rsidRPr="00D4084E">
        <w:rPr>
          <w:sz w:val="22"/>
          <w:szCs w:val="22"/>
        </w:rPr>
        <w:t>student friendly</w:t>
      </w:r>
      <w:r w:rsidRPr="00D4084E">
        <w:rPr>
          <w:sz w:val="22"/>
          <w:szCs w:val="22"/>
        </w:rPr>
        <w:t xml:space="preserve"> system that will be inter-operable and entirely digital. The scheme will be applicable to the top quality higher educational institutions of the nation, as determined by the NIRF rankings - including all HEIs, government and private, that are ranked within the top 100 in NIRF in overall, category-specific and domain specific rankings; state government HEIs ranked in 101-200 in NIRF and all central government governed institutions. This list will be updated every year using the latest NIRF ranking, and to begin starts with 860 qualifying QHEIs, covering more than 22 lakh students to be able to potentially avail benefits of PM</w:t>
      </w:r>
      <w:r>
        <w:rPr>
          <w:sz w:val="22"/>
          <w:szCs w:val="22"/>
        </w:rPr>
        <w:t xml:space="preserve"> </w:t>
      </w:r>
      <w:r w:rsidRPr="00D4084E">
        <w:rPr>
          <w:sz w:val="22"/>
          <w:szCs w:val="22"/>
        </w:rPr>
        <w:t>Vidyalaxmi:</w:t>
      </w:r>
      <w:r w:rsidRPr="00D4084E">
        <w:rPr>
          <w:sz w:val="22"/>
          <w:szCs w:val="22"/>
        </w:rPr>
        <w:t xml:space="preserve"> if they so desire. For loan amount up to ₹ 7.5 lakhs, the student will also be eligible for a credit guarantee of 75% of outstanding default. This will give support to banks in making education loans available to students under the scheme. In addition to the above, for students having an annual family income of up to ₹ 8 lakhs, and not eligible for benefits under any other government scholarship or interest subvention schemes, 3 percent interest subvention for loan up to ₹ 10 lakhs will also be provided during moratorium period. The interest subvention support will be given to one lakh students every year. Preference will be given to students who are from government institutions and have opted for technical/ professional courses. An outlay of ₹ 3,600 Crore has been made during 2024-25 to 2030-31, and 7 lakh fresh students are expected to get the benefit of this interest subvention during the period. The Department of Higher Education will have a unified portal “PM-Vidyalaxmi” on which students will be able to apply for the education loan as well as interest subvention, through a simplified application process to be used by all banks. Payment of interest subvention will be made through E</w:t>
      </w:r>
      <w:r>
        <w:rPr>
          <w:sz w:val="22"/>
          <w:szCs w:val="22"/>
        </w:rPr>
        <w:t xml:space="preserve"> </w:t>
      </w:r>
      <w:r w:rsidRPr="00D4084E">
        <w:rPr>
          <w:sz w:val="22"/>
          <w:szCs w:val="22"/>
        </w:rPr>
        <w:t>voucher and Central Bank Digital Currency (CBDC) wallets. PM Vidyalaxmi will build on and further enhance the scope and reach of the range of initiatives undertaken by the Government of India over the past decade in the domains of education and financial inclusion, for maximizing access to quality higher education for the youth of India. This will supplement the Central Sector Interest Subsidy (CSIS) and Credit Guarantee Fund Scheme for Education Loans (CGFSEL), the two component schemes of PM-USP, being implemented by the Department of Higher Education. Under the PM-USP CSIS, students with annual family income up</w:t>
      </w:r>
      <w:r w:rsidRPr="00D4084E">
        <w:rPr>
          <w:sz w:val="22"/>
          <w:szCs w:val="22"/>
        </w:rPr>
        <w:t xml:space="preserve"> </w:t>
      </w:r>
      <w:r w:rsidRPr="00D4084E">
        <w:rPr>
          <w:sz w:val="22"/>
          <w:szCs w:val="22"/>
        </w:rPr>
        <w:t>to ₹ 4.5 lakhs and pursuing technical/ professional courses from approved institutions get full interest subvention during moratorium period for education loans up to ₹ 10 lakhs. Thus, PM Vidyalaxmi and PM-USP will together provide holistic support to all deserving students to pursue higher education in quality HEIs and technical/ professional education in approved HEIs</w:t>
      </w:r>
      <w:r>
        <w:rPr>
          <w:sz w:val="22"/>
          <w:szCs w:val="22"/>
        </w:rPr>
        <w:t>.</w:t>
      </w:r>
    </w:p>
    <w:p w14:paraId="252F9F7A" w14:textId="77777777" w:rsidR="00D4084E" w:rsidRDefault="00D4084E" w:rsidP="00D4084E">
      <w:pPr>
        <w:jc w:val="both"/>
        <w:rPr>
          <w:sz w:val="22"/>
          <w:szCs w:val="22"/>
        </w:rPr>
      </w:pPr>
    </w:p>
    <w:p w14:paraId="0DEAC1F4" w14:textId="77777777" w:rsidR="00D4084E" w:rsidRDefault="00D4084E" w:rsidP="00D4084E">
      <w:pPr>
        <w:jc w:val="both"/>
        <w:rPr>
          <w:sz w:val="22"/>
          <w:szCs w:val="22"/>
        </w:rPr>
      </w:pPr>
    </w:p>
    <w:p w14:paraId="671CEC6D" w14:textId="77777777" w:rsidR="00D4084E" w:rsidRPr="00D4084E" w:rsidRDefault="00D4084E" w:rsidP="00D4084E">
      <w:pPr>
        <w:jc w:val="both"/>
        <w:rPr>
          <w:b/>
          <w:bCs/>
          <w:sz w:val="22"/>
          <w:szCs w:val="22"/>
        </w:rPr>
      </w:pPr>
      <w:r w:rsidRPr="00D4084E">
        <w:rPr>
          <w:b/>
          <w:bCs/>
          <w:sz w:val="22"/>
          <w:szCs w:val="22"/>
        </w:rPr>
        <w:lastRenderedPageBreak/>
        <w:t>Eligibility Requirement</w:t>
      </w:r>
    </w:p>
    <w:p w14:paraId="5BA6F10E" w14:textId="77777777" w:rsidR="00D4084E" w:rsidRPr="00D4084E" w:rsidRDefault="00D4084E" w:rsidP="00D4084E">
      <w:pPr>
        <w:numPr>
          <w:ilvl w:val="0"/>
          <w:numId w:val="3"/>
        </w:numPr>
        <w:jc w:val="both"/>
        <w:rPr>
          <w:sz w:val="22"/>
          <w:szCs w:val="22"/>
        </w:rPr>
      </w:pPr>
      <w:r w:rsidRPr="00D4084E">
        <w:rPr>
          <w:sz w:val="22"/>
          <w:szCs w:val="22"/>
        </w:rPr>
        <w:t>It is essential for the students to meet the following eligibility criteria mentioned under the PM Vidyalaxmi Scheme : -</w:t>
      </w:r>
    </w:p>
    <w:p w14:paraId="2E7A8FA9" w14:textId="77777777" w:rsidR="00D4084E" w:rsidRPr="00D4084E" w:rsidRDefault="00D4084E" w:rsidP="00D4084E">
      <w:pPr>
        <w:numPr>
          <w:ilvl w:val="1"/>
          <w:numId w:val="3"/>
        </w:numPr>
        <w:jc w:val="both"/>
        <w:rPr>
          <w:sz w:val="22"/>
          <w:szCs w:val="22"/>
        </w:rPr>
      </w:pPr>
      <w:r w:rsidRPr="00D4084E">
        <w:rPr>
          <w:sz w:val="22"/>
          <w:szCs w:val="22"/>
        </w:rPr>
        <w:t>Students must be domiciled citizens of India.</w:t>
      </w:r>
    </w:p>
    <w:p w14:paraId="2EE61D9D" w14:textId="77777777" w:rsidR="00D4084E" w:rsidRPr="00D4084E" w:rsidRDefault="00D4084E" w:rsidP="00D4084E">
      <w:pPr>
        <w:numPr>
          <w:ilvl w:val="1"/>
          <w:numId w:val="3"/>
        </w:numPr>
        <w:jc w:val="both"/>
        <w:rPr>
          <w:sz w:val="22"/>
          <w:szCs w:val="22"/>
        </w:rPr>
      </w:pPr>
      <w:r w:rsidRPr="00D4084E">
        <w:rPr>
          <w:sz w:val="22"/>
          <w:szCs w:val="22"/>
        </w:rPr>
        <w:t>3% interest subsidy will be provided to students with an annual family income of Rs 8 lakh.</w:t>
      </w:r>
    </w:p>
    <w:p w14:paraId="4D0AD3FF" w14:textId="77777777" w:rsidR="00D4084E" w:rsidRPr="00D4084E" w:rsidRDefault="00D4084E" w:rsidP="00D4084E">
      <w:pPr>
        <w:numPr>
          <w:ilvl w:val="1"/>
          <w:numId w:val="3"/>
        </w:numPr>
        <w:jc w:val="both"/>
        <w:rPr>
          <w:sz w:val="22"/>
          <w:szCs w:val="22"/>
        </w:rPr>
      </w:pPr>
      <w:r w:rsidRPr="00D4084E">
        <w:rPr>
          <w:sz w:val="22"/>
          <w:szCs w:val="22"/>
        </w:rPr>
        <w:t>Students institution must be top ranked as determined by the NIRF : -</w:t>
      </w:r>
    </w:p>
    <w:p w14:paraId="3373ADD0" w14:textId="77777777" w:rsidR="00D4084E" w:rsidRPr="00D4084E" w:rsidRDefault="00D4084E" w:rsidP="00D4084E">
      <w:pPr>
        <w:numPr>
          <w:ilvl w:val="2"/>
          <w:numId w:val="3"/>
        </w:numPr>
        <w:jc w:val="both"/>
        <w:rPr>
          <w:sz w:val="22"/>
          <w:szCs w:val="22"/>
        </w:rPr>
      </w:pPr>
      <w:r w:rsidRPr="00D4084E">
        <w:rPr>
          <w:sz w:val="22"/>
          <w:szCs w:val="22"/>
        </w:rPr>
        <w:t>Top 100 institutions government and private ranked in overall category.</w:t>
      </w:r>
    </w:p>
    <w:p w14:paraId="77DFC5AC" w14:textId="77777777" w:rsidR="00D4084E" w:rsidRPr="00D4084E" w:rsidRDefault="00D4084E" w:rsidP="00D4084E">
      <w:pPr>
        <w:numPr>
          <w:ilvl w:val="2"/>
          <w:numId w:val="3"/>
        </w:numPr>
        <w:jc w:val="both"/>
        <w:rPr>
          <w:sz w:val="22"/>
          <w:szCs w:val="22"/>
        </w:rPr>
      </w:pPr>
      <w:r w:rsidRPr="00D4084E">
        <w:rPr>
          <w:sz w:val="22"/>
          <w:szCs w:val="22"/>
        </w:rPr>
        <w:t>Institutions ranked in specific categories under 101-200, and</w:t>
      </w:r>
    </w:p>
    <w:p w14:paraId="5EAF51C4" w14:textId="77777777" w:rsidR="00D4084E" w:rsidRPr="00D4084E" w:rsidRDefault="00D4084E" w:rsidP="00D4084E">
      <w:pPr>
        <w:numPr>
          <w:ilvl w:val="2"/>
          <w:numId w:val="3"/>
        </w:numPr>
        <w:jc w:val="both"/>
        <w:rPr>
          <w:sz w:val="22"/>
          <w:szCs w:val="22"/>
        </w:rPr>
      </w:pPr>
      <w:r w:rsidRPr="00D4084E">
        <w:rPr>
          <w:sz w:val="22"/>
          <w:szCs w:val="22"/>
        </w:rPr>
        <w:t>All Central government institutions.</w:t>
      </w:r>
    </w:p>
    <w:p w14:paraId="06E0B6D4" w14:textId="77777777" w:rsidR="00D4084E" w:rsidRPr="00D4084E" w:rsidRDefault="00D4084E" w:rsidP="00D4084E">
      <w:pPr>
        <w:jc w:val="both"/>
        <w:rPr>
          <w:b/>
          <w:bCs/>
          <w:sz w:val="22"/>
          <w:szCs w:val="22"/>
        </w:rPr>
      </w:pPr>
      <w:r w:rsidRPr="00D4084E">
        <w:rPr>
          <w:b/>
          <w:bCs/>
          <w:sz w:val="22"/>
          <w:szCs w:val="22"/>
        </w:rPr>
        <w:t>Required Documents</w:t>
      </w:r>
    </w:p>
    <w:p w14:paraId="75D2A8B2" w14:textId="77777777" w:rsidR="00D4084E" w:rsidRPr="00D4084E" w:rsidRDefault="00D4084E" w:rsidP="00D4084E">
      <w:pPr>
        <w:numPr>
          <w:ilvl w:val="0"/>
          <w:numId w:val="4"/>
        </w:numPr>
        <w:jc w:val="both"/>
        <w:rPr>
          <w:sz w:val="22"/>
          <w:szCs w:val="22"/>
        </w:rPr>
      </w:pPr>
      <w:r w:rsidRPr="00D4084E">
        <w:rPr>
          <w:sz w:val="22"/>
          <w:szCs w:val="22"/>
        </w:rPr>
        <w:t>Students must submit the following documents when applying for the PM Vidyalaxmi Scheme : -</w:t>
      </w:r>
    </w:p>
    <w:p w14:paraId="2D9EB205" w14:textId="77777777" w:rsidR="00D4084E" w:rsidRPr="00D4084E" w:rsidRDefault="00D4084E" w:rsidP="00D4084E">
      <w:pPr>
        <w:numPr>
          <w:ilvl w:val="1"/>
          <w:numId w:val="4"/>
        </w:numPr>
        <w:jc w:val="both"/>
        <w:rPr>
          <w:sz w:val="22"/>
          <w:szCs w:val="22"/>
        </w:rPr>
      </w:pPr>
      <w:r w:rsidRPr="00D4084E">
        <w:rPr>
          <w:sz w:val="22"/>
          <w:szCs w:val="22"/>
        </w:rPr>
        <w:t>Address Proof.</w:t>
      </w:r>
    </w:p>
    <w:p w14:paraId="3C203F4F" w14:textId="77777777" w:rsidR="00D4084E" w:rsidRPr="00D4084E" w:rsidRDefault="00D4084E" w:rsidP="00D4084E">
      <w:pPr>
        <w:numPr>
          <w:ilvl w:val="1"/>
          <w:numId w:val="4"/>
        </w:numPr>
        <w:jc w:val="both"/>
        <w:rPr>
          <w:sz w:val="22"/>
          <w:szCs w:val="22"/>
        </w:rPr>
      </w:pPr>
      <w:r w:rsidRPr="00D4084E">
        <w:rPr>
          <w:sz w:val="22"/>
          <w:szCs w:val="22"/>
        </w:rPr>
        <w:t>Aadhaar Card.</w:t>
      </w:r>
    </w:p>
    <w:p w14:paraId="3C299D34" w14:textId="77777777" w:rsidR="00D4084E" w:rsidRPr="00D4084E" w:rsidRDefault="00D4084E" w:rsidP="00D4084E">
      <w:pPr>
        <w:numPr>
          <w:ilvl w:val="1"/>
          <w:numId w:val="4"/>
        </w:numPr>
        <w:jc w:val="both"/>
        <w:rPr>
          <w:sz w:val="22"/>
          <w:szCs w:val="22"/>
        </w:rPr>
      </w:pPr>
      <w:r w:rsidRPr="00D4084E">
        <w:rPr>
          <w:sz w:val="22"/>
          <w:szCs w:val="22"/>
        </w:rPr>
        <w:t>Admission Slip</w:t>
      </w:r>
    </w:p>
    <w:p w14:paraId="2380B620" w14:textId="77777777" w:rsidR="00D4084E" w:rsidRPr="00D4084E" w:rsidRDefault="00D4084E" w:rsidP="00D4084E">
      <w:pPr>
        <w:numPr>
          <w:ilvl w:val="1"/>
          <w:numId w:val="4"/>
        </w:numPr>
        <w:jc w:val="both"/>
        <w:rPr>
          <w:sz w:val="22"/>
          <w:szCs w:val="22"/>
        </w:rPr>
      </w:pPr>
      <w:r w:rsidRPr="00D4084E">
        <w:rPr>
          <w:sz w:val="22"/>
          <w:szCs w:val="22"/>
        </w:rPr>
        <w:t>Academic Certificate and marksheets.</w:t>
      </w:r>
    </w:p>
    <w:p w14:paraId="1BD7A220" w14:textId="77777777" w:rsidR="00D4084E" w:rsidRPr="00D4084E" w:rsidRDefault="00D4084E" w:rsidP="00D4084E">
      <w:pPr>
        <w:numPr>
          <w:ilvl w:val="1"/>
          <w:numId w:val="4"/>
        </w:numPr>
        <w:jc w:val="both"/>
        <w:rPr>
          <w:sz w:val="22"/>
          <w:szCs w:val="22"/>
        </w:rPr>
      </w:pPr>
      <w:r w:rsidRPr="00D4084E">
        <w:rPr>
          <w:sz w:val="22"/>
          <w:szCs w:val="22"/>
        </w:rPr>
        <w:t>Income Certificate.</w:t>
      </w:r>
    </w:p>
    <w:p w14:paraId="3A735774" w14:textId="77777777" w:rsidR="00D4084E" w:rsidRPr="00D4084E" w:rsidRDefault="00D4084E" w:rsidP="00D4084E">
      <w:pPr>
        <w:numPr>
          <w:ilvl w:val="1"/>
          <w:numId w:val="4"/>
        </w:numPr>
        <w:jc w:val="both"/>
        <w:rPr>
          <w:sz w:val="22"/>
          <w:szCs w:val="22"/>
        </w:rPr>
      </w:pPr>
      <w:r w:rsidRPr="00D4084E">
        <w:rPr>
          <w:sz w:val="22"/>
          <w:szCs w:val="22"/>
        </w:rPr>
        <w:t>Students photograph.</w:t>
      </w:r>
    </w:p>
    <w:p w14:paraId="75EECEF6" w14:textId="77777777" w:rsidR="00D4084E" w:rsidRPr="00D4084E" w:rsidRDefault="00D4084E" w:rsidP="00D4084E">
      <w:pPr>
        <w:numPr>
          <w:ilvl w:val="1"/>
          <w:numId w:val="4"/>
        </w:numPr>
        <w:jc w:val="both"/>
        <w:rPr>
          <w:sz w:val="22"/>
          <w:szCs w:val="22"/>
        </w:rPr>
      </w:pPr>
      <w:r w:rsidRPr="00D4084E">
        <w:rPr>
          <w:sz w:val="22"/>
          <w:szCs w:val="22"/>
        </w:rPr>
        <w:t>Parents photograph.</w:t>
      </w:r>
    </w:p>
    <w:p w14:paraId="65869AB1" w14:textId="77777777" w:rsidR="00D4084E" w:rsidRPr="00D4084E" w:rsidRDefault="00D4084E" w:rsidP="00D4084E">
      <w:pPr>
        <w:numPr>
          <w:ilvl w:val="1"/>
          <w:numId w:val="4"/>
        </w:numPr>
        <w:jc w:val="both"/>
        <w:rPr>
          <w:sz w:val="22"/>
          <w:szCs w:val="22"/>
        </w:rPr>
      </w:pPr>
      <w:r w:rsidRPr="00D4084E">
        <w:rPr>
          <w:sz w:val="22"/>
          <w:szCs w:val="22"/>
        </w:rPr>
        <w:t>Land record copy.</w:t>
      </w:r>
    </w:p>
    <w:p w14:paraId="77E964B8" w14:textId="77777777" w:rsidR="00D4084E" w:rsidRPr="00D4084E" w:rsidRDefault="00D4084E" w:rsidP="00D4084E">
      <w:pPr>
        <w:numPr>
          <w:ilvl w:val="1"/>
          <w:numId w:val="4"/>
        </w:numPr>
        <w:jc w:val="both"/>
        <w:rPr>
          <w:sz w:val="22"/>
          <w:szCs w:val="22"/>
        </w:rPr>
      </w:pPr>
      <w:r w:rsidRPr="00D4084E">
        <w:rPr>
          <w:sz w:val="22"/>
          <w:szCs w:val="22"/>
        </w:rPr>
        <w:t>Others as mentioned in the application form.</w:t>
      </w:r>
    </w:p>
    <w:p w14:paraId="4FC9E0AD" w14:textId="77777777" w:rsidR="00D4084E" w:rsidRPr="00D4084E" w:rsidRDefault="00D4084E" w:rsidP="00D4084E">
      <w:pPr>
        <w:jc w:val="both"/>
        <w:rPr>
          <w:b/>
          <w:bCs/>
          <w:sz w:val="22"/>
          <w:szCs w:val="22"/>
        </w:rPr>
      </w:pPr>
      <w:r w:rsidRPr="00D4084E">
        <w:rPr>
          <w:b/>
          <w:bCs/>
          <w:sz w:val="22"/>
          <w:szCs w:val="22"/>
        </w:rPr>
        <w:t>Steps to Apply</w:t>
      </w:r>
    </w:p>
    <w:p w14:paraId="0EBD342D" w14:textId="77777777" w:rsidR="00D4084E" w:rsidRPr="00D4084E" w:rsidRDefault="00D4084E" w:rsidP="00D4084E">
      <w:pPr>
        <w:numPr>
          <w:ilvl w:val="0"/>
          <w:numId w:val="5"/>
        </w:numPr>
        <w:jc w:val="both"/>
        <w:rPr>
          <w:sz w:val="22"/>
          <w:szCs w:val="22"/>
        </w:rPr>
      </w:pPr>
      <w:r w:rsidRPr="00D4084E">
        <w:rPr>
          <w:sz w:val="22"/>
          <w:szCs w:val="22"/>
        </w:rPr>
        <w:t>Students can apply for the PM Vidyalaxmi Scheme online.</w:t>
      </w:r>
    </w:p>
    <w:p w14:paraId="0B876856" w14:textId="77777777" w:rsidR="00D4084E" w:rsidRPr="00D4084E" w:rsidRDefault="00D4084E" w:rsidP="00D4084E">
      <w:pPr>
        <w:numPr>
          <w:ilvl w:val="0"/>
          <w:numId w:val="5"/>
        </w:numPr>
        <w:jc w:val="both"/>
        <w:rPr>
          <w:sz w:val="22"/>
          <w:szCs w:val="22"/>
        </w:rPr>
      </w:pPr>
      <w:r w:rsidRPr="00D4084E">
        <w:rPr>
          <w:sz w:val="22"/>
          <w:szCs w:val="22"/>
        </w:rPr>
        <w:t>To submit applications, students need to visit the </w:t>
      </w:r>
      <w:hyperlink r:id="rId5" w:history="1">
        <w:r w:rsidRPr="00D4084E">
          <w:rPr>
            <w:rStyle w:val="Hyperlink"/>
            <w:sz w:val="22"/>
            <w:szCs w:val="22"/>
          </w:rPr>
          <w:t>Vidya Lakshmi Portal</w:t>
        </w:r>
      </w:hyperlink>
      <w:r w:rsidRPr="00D4084E">
        <w:rPr>
          <w:sz w:val="22"/>
          <w:szCs w:val="22"/>
        </w:rPr>
        <w:t>.</w:t>
      </w:r>
    </w:p>
    <w:p w14:paraId="64BA5161" w14:textId="77777777" w:rsidR="00D4084E" w:rsidRPr="00D4084E" w:rsidRDefault="00D4084E" w:rsidP="00D4084E">
      <w:pPr>
        <w:numPr>
          <w:ilvl w:val="0"/>
          <w:numId w:val="5"/>
        </w:numPr>
        <w:jc w:val="both"/>
        <w:rPr>
          <w:sz w:val="22"/>
          <w:szCs w:val="22"/>
        </w:rPr>
      </w:pPr>
      <w:r w:rsidRPr="00D4084E">
        <w:rPr>
          <w:sz w:val="22"/>
          <w:szCs w:val="22"/>
        </w:rPr>
        <w:t>On the home page, students need to choose the "Apply Now" tab.</w:t>
      </w:r>
    </w:p>
    <w:p w14:paraId="5AD0E189" w14:textId="77777777" w:rsidR="00D4084E" w:rsidRPr="00D4084E" w:rsidRDefault="00D4084E" w:rsidP="00D4084E">
      <w:pPr>
        <w:numPr>
          <w:ilvl w:val="0"/>
          <w:numId w:val="5"/>
        </w:numPr>
        <w:jc w:val="both"/>
        <w:rPr>
          <w:sz w:val="22"/>
          <w:szCs w:val="22"/>
        </w:rPr>
      </w:pPr>
      <w:r w:rsidRPr="00D4084E">
        <w:rPr>
          <w:sz w:val="22"/>
          <w:szCs w:val="22"/>
        </w:rPr>
        <w:t>If students seek subsidy on interest then they can submit their Vidyalaxmi Scheme applications through </w:t>
      </w:r>
      <w:proofErr w:type="spellStart"/>
      <w:r w:rsidRPr="00D4084E">
        <w:rPr>
          <w:sz w:val="22"/>
          <w:szCs w:val="22"/>
        </w:rPr>
        <w:fldChar w:fldCharType="begin"/>
      </w:r>
      <w:r w:rsidRPr="00D4084E">
        <w:rPr>
          <w:sz w:val="22"/>
          <w:szCs w:val="22"/>
        </w:rPr>
        <w:instrText>HYPERLINK "https://www.jansamarth.in/home"</w:instrText>
      </w:r>
      <w:r w:rsidRPr="00D4084E">
        <w:rPr>
          <w:sz w:val="22"/>
          <w:szCs w:val="22"/>
        </w:rPr>
      </w:r>
      <w:r w:rsidRPr="00D4084E">
        <w:rPr>
          <w:sz w:val="22"/>
          <w:szCs w:val="22"/>
        </w:rPr>
        <w:fldChar w:fldCharType="separate"/>
      </w:r>
      <w:r w:rsidRPr="00D4084E">
        <w:rPr>
          <w:rStyle w:val="Hyperlink"/>
          <w:sz w:val="22"/>
          <w:szCs w:val="22"/>
        </w:rPr>
        <w:t>Jansamarth</w:t>
      </w:r>
      <w:proofErr w:type="spellEnd"/>
      <w:r w:rsidRPr="00D4084E">
        <w:rPr>
          <w:rStyle w:val="Hyperlink"/>
          <w:sz w:val="22"/>
          <w:szCs w:val="22"/>
        </w:rPr>
        <w:t xml:space="preserve"> Portal</w:t>
      </w:r>
      <w:r w:rsidRPr="00D4084E">
        <w:rPr>
          <w:sz w:val="22"/>
          <w:szCs w:val="22"/>
        </w:rPr>
        <w:fldChar w:fldCharType="end"/>
      </w:r>
      <w:r w:rsidRPr="00D4084E">
        <w:rPr>
          <w:sz w:val="22"/>
          <w:szCs w:val="22"/>
        </w:rPr>
        <w:t>.</w:t>
      </w:r>
    </w:p>
    <w:p w14:paraId="1A6922CF" w14:textId="77777777" w:rsidR="00D4084E" w:rsidRPr="00D4084E" w:rsidRDefault="00D4084E" w:rsidP="00D4084E">
      <w:pPr>
        <w:numPr>
          <w:ilvl w:val="0"/>
          <w:numId w:val="5"/>
        </w:numPr>
        <w:jc w:val="both"/>
        <w:rPr>
          <w:sz w:val="22"/>
          <w:szCs w:val="22"/>
        </w:rPr>
      </w:pPr>
      <w:r w:rsidRPr="00D4084E">
        <w:rPr>
          <w:sz w:val="22"/>
          <w:szCs w:val="22"/>
        </w:rPr>
        <w:t>Meanwhile, other students can submit their application from Vidyalaxmi Portal.</w:t>
      </w:r>
    </w:p>
    <w:p w14:paraId="4E69111A" w14:textId="77777777" w:rsidR="00D4084E" w:rsidRDefault="00D4084E" w:rsidP="00D4084E">
      <w:pPr>
        <w:numPr>
          <w:ilvl w:val="0"/>
          <w:numId w:val="5"/>
        </w:numPr>
        <w:jc w:val="both"/>
        <w:rPr>
          <w:sz w:val="22"/>
          <w:szCs w:val="22"/>
        </w:rPr>
      </w:pPr>
      <w:r w:rsidRPr="00D4084E">
        <w:rPr>
          <w:sz w:val="22"/>
          <w:szCs w:val="22"/>
        </w:rPr>
        <w:t>Students need to first register online by following the process given below : -</w:t>
      </w:r>
    </w:p>
    <w:p w14:paraId="3012E788" w14:textId="77777777" w:rsidR="00D4084E" w:rsidRPr="00D4084E" w:rsidRDefault="00D4084E" w:rsidP="00D4084E">
      <w:pPr>
        <w:numPr>
          <w:ilvl w:val="0"/>
          <w:numId w:val="5"/>
        </w:numPr>
        <w:jc w:val="both"/>
        <w:rPr>
          <w:sz w:val="22"/>
          <w:szCs w:val="22"/>
        </w:rPr>
      </w:pPr>
    </w:p>
    <w:p w14:paraId="2FC1EB3D" w14:textId="77777777" w:rsidR="00D4084E" w:rsidRPr="00D4084E" w:rsidRDefault="00D4084E" w:rsidP="00D4084E">
      <w:pPr>
        <w:jc w:val="both"/>
        <w:rPr>
          <w:b/>
          <w:bCs/>
          <w:sz w:val="22"/>
          <w:szCs w:val="22"/>
        </w:rPr>
      </w:pPr>
      <w:r w:rsidRPr="00D4084E">
        <w:rPr>
          <w:b/>
          <w:bCs/>
          <w:sz w:val="22"/>
          <w:szCs w:val="22"/>
        </w:rPr>
        <w:lastRenderedPageBreak/>
        <w:t>Registration Process</w:t>
      </w:r>
    </w:p>
    <w:p w14:paraId="3D6A4001" w14:textId="77777777" w:rsidR="00D4084E" w:rsidRPr="00D4084E" w:rsidRDefault="00D4084E" w:rsidP="00D4084E">
      <w:pPr>
        <w:numPr>
          <w:ilvl w:val="0"/>
          <w:numId w:val="6"/>
        </w:numPr>
        <w:jc w:val="both"/>
        <w:rPr>
          <w:sz w:val="22"/>
          <w:szCs w:val="22"/>
        </w:rPr>
      </w:pPr>
      <w:r w:rsidRPr="00D4084E">
        <w:rPr>
          <w:sz w:val="22"/>
          <w:szCs w:val="22"/>
        </w:rPr>
        <w:t>For registration, students need to provide their : -</w:t>
      </w:r>
    </w:p>
    <w:p w14:paraId="30262CB9" w14:textId="77777777" w:rsidR="00D4084E" w:rsidRPr="00D4084E" w:rsidRDefault="00D4084E" w:rsidP="00D4084E">
      <w:pPr>
        <w:numPr>
          <w:ilvl w:val="1"/>
          <w:numId w:val="6"/>
        </w:numPr>
        <w:jc w:val="both"/>
        <w:rPr>
          <w:sz w:val="22"/>
          <w:szCs w:val="22"/>
        </w:rPr>
      </w:pPr>
      <w:r w:rsidRPr="00D4084E">
        <w:rPr>
          <w:sz w:val="22"/>
          <w:szCs w:val="22"/>
        </w:rPr>
        <w:t>Name.</w:t>
      </w:r>
    </w:p>
    <w:p w14:paraId="438E7E30" w14:textId="77777777" w:rsidR="00D4084E" w:rsidRPr="00D4084E" w:rsidRDefault="00D4084E" w:rsidP="00D4084E">
      <w:pPr>
        <w:numPr>
          <w:ilvl w:val="1"/>
          <w:numId w:val="6"/>
        </w:numPr>
        <w:jc w:val="both"/>
        <w:rPr>
          <w:sz w:val="22"/>
          <w:szCs w:val="22"/>
        </w:rPr>
      </w:pPr>
      <w:r w:rsidRPr="00D4084E">
        <w:rPr>
          <w:sz w:val="22"/>
          <w:szCs w:val="22"/>
        </w:rPr>
        <w:t>Mobile Number.</w:t>
      </w:r>
    </w:p>
    <w:p w14:paraId="4C8BCE21" w14:textId="77777777" w:rsidR="00D4084E" w:rsidRPr="00D4084E" w:rsidRDefault="00D4084E" w:rsidP="00D4084E">
      <w:pPr>
        <w:numPr>
          <w:ilvl w:val="1"/>
          <w:numId w:val="6"/>
        </w:numPr>
        <w:jc w:val="both"/>
        <w:rPr>
          <w:sz w:val="22"/>
          <w:szCs w:val="22"/>
        </w:rPr>
      </w:pPr>
      <w:r w:rsidRPr="00D4084E">
        <w:rPr>
          <w:sz w:val="22"/>
          <w:szCs w:val="22"/>
        </w:rPr>
        <w:t>Email ID.</w:t>
      </w:r>
    </w:p>
    <w:p w14:paraId="2A6FA7E6" w14:textId="77777777" w:rsidR="00D4084E" w:rsidRPr="00D4084E" w:rsidRDefault="00D4084E" w:rsidP="00D4084E">
      <w:pPr>
        <w:numPr>
          <w:ilvl w:val="1"/>
          <w:numId w:val="6"/>
        </w:numPr>
        <w:jc w:val="both"/>
        <w:rPr>
          <w:sz w:val="22"/>
          <w:szCs w:val="22"/>
        </w:rPr>
      </w:pPr>
      <w:r w:rsidRPr="00D4084E">
        <w:rPr>
          <w:sz w:val="22"/>
          <w:szCs w:val="22"/>
        </w:rPr>
        <w:t>Password.</w:t>
      </w:r>
    </w:p>
    <w:p w14:paraId="1888E937" w14:textId="77777777" w:rsidR="00D4084E" w:rsidRPr="00D4084E" w:rsidRDefault="00D4084E" w:rsidP="00D4084E">
      <w:pPr>
        <w:numPr>
          <w:ilvl w:val="1"/>
          <w:numId w:val="6"/>
        </w:numPr>
        <w:jc w:val="both"/>
        <w:rPr>
          <w:sz w:val="22"/>
          <w:szCs w:val="22"/>
        </w:rPr>
      </w:pPr>
      <w:r w:rsidRPr="00D4084E">
        <w:rPr>
          <w:sz w:val="22"/>
          <w:szCs w:val="22"/>
        </w:rPr>
        <w:t>Confirm the password submitted.</w:t>
      </w:r>
    </w:p>
    <w:p w14:paraId="5767A178" w14:textId="77777777" w:rsidR="00D4084E" w:rsidRPr="00D4084E" w:rsidRDefault="00D4084E" w:rsidP="00D4084E">
      <w:pPr>
        <w:numPr>
          <w:ilvl w:val="0"/>
          <w:numId w:val="6"/>
        </w:numPr>
        <w:jc w:val="both"/>
        <w:rPr>
          <w:sz w:val="22"/>
          <w:szCs w:val="22"/>
        </w:rPr>
      </w:pPr>
      <w:r w:rsidRPr="00D4084E">
        <w:rPr>
          <w:sz w:val="22"/>
          <w:szCs w:val="22"/>
        </w:rPr>
        <w:t>After submitting the captcha code press the submit button.</w:t>
      </w:r>
    </w:p>
    <w:p w14:paraId="3DAA652A" w14:textId="77777777" w:rsidR="00D4084E" w:rsidRPr="00D4084E" w:rsidRDefault="00D4084E" w:rsidP="00D4084E">
      <w:pPr>
        <w:numPr>
          <w:ilvl w:val="0"/>
          <w:numId w:val="6"/>
        </w:numPr>
        <w:jc w:val="both"/>
        <w:rPr>
          <w:sz w:val="22"/>
          <w:szCs w:val="22"/>
        </w:rPr>
      </w:pPr>
      <w:r w:rsidRPr="00D4084E">
        <w:rPr>
          <w:sz w:val="22"/>
          <w:szCs w:val="22"/>
        </w:rPr>
        <w:t>Click on the activation link received on the provided email.</w:t>
      </w:r>
    </w:p>
    <w:p w14:paraId="4CF7DDAA" w14:textId="77777777" w:rsidR="00D4084E" w:rsidRPr="00D4084E" w:rsidRDefault="00D4084E" w:rsidP="00D4084E">
      <w:pPr>
        <w:jc w:val="both"/>
        <w:rPr>
          <w:sz w:val="22"/>
          <w:szCs w:val="22"/>
        </w:rPr>
      </w:pPr>
      <w:r w:rsidRPr="00D4084E">
        <w:rPr>
          <w:sz w:val="22"/>
          <w:szCs w:val="22"/>
        </w:rPr>
        <w:t>Application Submission Process</w:t>
      </w:r>
    </w:p>
    <w:p w14:paraId="5BFFA1B1" w14:textId="77777777" w:rsidR="00D4084E" w:rsidRPr="00D4084E" w:rsidRDefault="00D4084E" w:rsidP="00D4084E">
      <w:pPr>
        <w:numPr>
          <w:ilvl w:val="0"/>
          <w:numId w:val="7"/>
        </w:numPr>
        <w:jc w:val="both"/>
        <w:rPr>
          <w:sz w:val="22"/>
          <w:szCs w:val="22"/>
        </w:rPr>
      </w:pPr>
      <w:hyperlink r:id="rId6" w:anchor="studentlogin" w:history="1">
        <w:r w:rsidRPr="00D4084E">
          <w:rPr>
            <w:rStyle w:val="Hyperlink"/>
            <w:sz w:val="22"/>
            <w:szCs w:val="22"/>
          </w:rPr>
          <w:t>Login</w:t>
        </w:r>
      </w:hyperlink>
      <w:r w:rsidRPr="00D4084E">
        <w:rPr>
          <w:sz w:val="22"/>
          <w:szCs w:val="22"/>
        </w:rPr>
        <w:t> with the details, to submit the PM Vidyalaxmi Scheme application form.</w:t>
      </w:r>
    </w:p>
    <w:p w14:paraId="78EAE275" w14:textId="77777777" w:rsidR="00D4084E" w:rsidRPr="00D4084E" w:rsidRDefault="00D4084E" w:rsidP="00D4084E">
      <w:pPr>
        <w:numPr>
          <w:ilvl w:val="0"/>
          <w:numId w:val="7"/>
        </w:numPr>
        <w:jc w:val="both"/>
        <w:rPr>
          <w:sz w:val="22"/>
          <w:szCs w:val="22"/>
        </w:rPr>
      </w:pPr>
      <w:r w:rsidRPr="00D4084E">
        <w:rPr>
          <w:sz w:val="22"/>
          <w:szCs w:val="22"/>
        </w:rPr>
        <w:t>Select the Loan Application tab from the applicants dashboard.</w:t>
      </w:r>
    </w:p>
    <w:p w14:paraId="65FE9691" w14:textId="77777777" w:rsidR="00D4084E" w:rsidRPr="00D4084E" w:rsidRDefault="00D4084E" w:rsidP="00D4084E">
      <w:pPr>
        <w:numPr>
          <w:ilvl w:val="0"/>
          <w:numId w:val="7"/>
        </w:numPr>
        <w:jc w:val="both"/>
        <w:rPr>
          <w:sz w:val="22"/>
          <w:szCs w:val="22"/>
        </w:rPr>
      </w:pPr>
      <w:r w:rsidRPr="00D4084E">
        <w:rPr>
          <w:sz w:val="22"/>
          <w:szCs w:val="22"/>
        </w:rPr>
        <w:t>In the application form students need to submit the following details : -</w:t>
      </w:r>
      <w:r w:rsidRPr="00D4084E">
        <w:rPr>
          <w:sz w:val="22"/>
          <w:szCs w:val="22"/>
        </w:rPr>
        <w:br/>
      </w:r>
    </w:p>
    <w:p w14:paraId="72E32073" w14:textId="77777777" w:rsidR="00D4084E" w:rsidRPr="00D4084E" w:rsidRDefault="00D4084E" w:rsidP="00D4084E">
      <w:pPr>
        <w:numPr>
          <w:ilvl w:val="1"/>
          <w:numId w:val="7"/>
        </w:numPr>
        <w:jc w:val="both"/>
        <w:rPr>
          <w:sz w:val="22"/>
          <w:szCs w:val="22"/>
        </w:rPr>
      </w:pPr>
      <w:r w:rsidRPr="00D4084E">
        <w:rPr>
          <w:sz w:val="22"/>
          <w:szCs w:val="22"/>
        </w:rPr>
        <w:t>Basic Information.</w:t>
      </w:r>
    </w:p>
    <w:p w14:paraId="0E60CB93" w14:textId="77777777" w:rsidR="00D4084E" w:rsidRPr="00D4084E" w:rsidRDefault="00D4084E" w:rsidP="00D4084E">
      <w:pPr>
        <w:numPr>
          <w:ilvl w:val="1"/>
          <w:numId w:val="7"/>
        </w:numPr>
        <w:jc w:val="both"/>
        <w:rPr>
          <w:sz w:val="22"/>
          <w:szCs w:val="22"/>
        </w:rPr>
      </w:pPr>
      <w:r w:rsidRPr="00D4084E">
        <w:rPr>
          <w:sz w:val="22"/>
          <w:szCs w:val="22"/>
        </w:rPr>
        <w:t>Personal Information.</w:t>
      </w:r>
    </w:p>
    <w:p w14:paraId="326E7A2E" w14:textId="77777777" w:rsidR="00D4084E" w:rsidRPr="00D4084E" w:rsidRDefault="00D4084E" w:rsidP="00D4084E">
      <w:pPr>
        <w:numPr>
          <w:ilvl w:val="1"/>
          <w:numId w:val="7"/>
        </w:numPr>
        <w:jc w:val="both"/>
        <w:rPr>
          <w:sz w:val="22"/>
          <w:szCs w:val="22"/>
        </w:rPr>
      </w:pPr>
      <w:r w:rsidRPr="00D4084E">
        <w:rPr>
          <w:sz w:val="22"/>
          <w:szCs w:val="22"/>
        </w:rPr>
        <w:t>Present Bank Details.</w:t>
      </w:r>
    </w:p>
    <w:p w14:paraId="5351FDE4" w14:textId="77777777" w:rsidR="00D4084E" w:rsidRPr="00D4084E" w:rsidRDefault="00D4084E" w:rsidP="00D4084E">
      <w:pPr>
        <w:numPr>
          <w:ilvl w:val="1"/>
          <w:numId w:val="7"/>
        </w:numPr>
        <w:jc w:val="both"/>
        <w:rPr>
          <w:sz w:val="22"/>
          <w:szCs w:val="22"/>
        </w:rPr>
      </w:pPr>
      <w:r w:rsidRPr="00D4084E">
        <w:rPr>
          <w:sz w:val="22"/>
          <w:szCs w:val="22"/>
        </w:rPr>
        <w:t>Course Details.</w:t>
      </w:r>
    </w:p>
    <w:p w14:paraId="0B86031A" w14:textId="77777777" w:rsidR="00D4084E" w:rsidRPr="00D4084E" w:rsidRDefault="00D4084E" w:rsidP="00D4084E">
      <w:pPr>
        <w:numPr>
          <w:ilvl w:val="1"/>
          <w:numId w:val="7"/>
        </w:numPr>
        <w:jc w:val="both"/>
        <w:rPr>
          <w:sz w:val="22"/>
          <w:szCs w:val="22"/>
        </w:rPr>
      </w:pPr>
      <w:r w:rsidRPr="00D4084E">
        <w:rPr>
          <w:sz w:val="22"/>
          <w:szCs w:val="22"/>
        </w:rPr>
        <w:t>Cost of finance details.</w:t>
      </w:r>
    </w:p>
    <w:p w14:paraId="2F31A5CF" w14:textId="77777777" w:rsidR="00D4084E" w:rsidRPr="00D4084E" w:rsidRDefault="00D4084E" w:rsidP="00D4084E">
      <w:pPr>
        <w:numPr>
          <w:ilvl w:val="1"/>
          <w:numId w:val="7"/>
        </w:numPr>
        <w:jc w:val="both"/>
        <w:rPr>
          <w:sz w:val="22"/>
          <w:szCs w:val="22"/>
        </w:rPr>
      </w:pPr>
      <w:r w:rsidRPr="00D4084E">
        <w:rPr>
          <w:sz w:val="22"/>
          <w:szCs w:val="22"/>
        </w:rPr>
        <w:t>Upload documents.</w:t>
      </w:r>
    </w:p>
    <w:p w14:paraId="1EB2B3DE" w14:textId="77777777" w:rsidR="00D4084E" w:rsidRPr="00D4084E" w:rsidRDefault="00D4084E" w:rsidP="00D4084E">
      <w:pPr>
        <w:numPr>
          <w:ilvl w:val="0"/>
          <w:numId w:val="7"/>
        </w:numPr>
        <w:jc w:val="both"/>
        <w:rPr>
          <w:sz w:val="22"/>
          <w:szCs w:val="22"/>
        </w:rPr>
      </w:pPr>
      <w:r w:rsidRPr="00D4084E">
        <w:rPr>
          <w:sz w:val="22"/>
          <w:szCs w:val="22"/>
        </w:rPr>
        <w:t>Students can submit this single filled in application to multiple banks.</w:t>
      </w:r>
    </w:p>
    <w:p w14:paraId="48AB11EE" w14:textId="77777777" w:rsidR="00D4084E" w:rsidRPr="00D4084E" w:rsidRDefault="00D4084E" w:rsidP="00D4084E">
      <w:pPr>
        <w:numPr>
          <w:ilvl w:val="0"/>
          <w:numId w:val="7"/>
        </w:numPr>
        <w:jc w:val="both"/>
        <w:rPr>
          <w:sz w:val="22"/>
          <w:szCs w:val="22"/>
        </w:rPr>
      </w:pPr>
      <w:r w:rsidRPr="00D4084E">
        <w:rPr>
          <w:sz w:val="22"/>
          <w:szCs w:val="22"/>
        </w:rPr>
        <w:t>Students will receive a confirmation once the bank accepts your education loan application.</w:t>
      </w:r>
    </w:p>
    <w:p w14:paraId="7321B38A" w14:textId="77777777" w:rsidR="00D4084E" w:rsidRPr="00D4084E" w:rsidRDefault="00D4084E" w:rsidP="00D4084E">
      <w:pPr>
        <w:jc w:val="both"/>
        <w:rPr>
          <w:b/>
          <w:bCs/>
          <w:sz w:val="22"/>
          <w:szCs w:val="22"/>
        </w:rPr>
      </w:pPr>
      <w:r w:rsidRPr="00D4084E">
        <w:rPr>
          <w:b/>
          <w:bCs/>
          <w:sz w:val="22"/>
          <w:szCs w:val="22"/>
        </w:rPr>
        <w:t>Relevant Links</w:t>
      </w:r>
    </w:p>
    <w:p w14:paraId="6EF1A8AB" w14:textId="77777777" w:rsidR="00D4084E" w:rsidRPr="00D4084E" w:rsidRDefault="00D4084E" w:rsidP="00D4084E">
      <w:pPr>
        <w:numPr>
          <w:ilvl w:val="0"/>
          <w:numId w:val="8"/>
        </w:numPr>
        <w:jc w:val="both"/>
        <w:rPr>
          <w:sz w:val="22"/>
          <w:szCs w:val="22"/>
        </w:rPr>
      </w:pPr>
      <w:hyperlink r:id="rId7" w:history="1">
        <w:r w:rsidRPr="00D4084E">
          <w:rPr>
            <w:rStyle w:val="Hyperlink"/>
            <w:sz w:val="22"/>
            <w:szCs w:val="22"/>
          </w:rPr>
          <w:t>PM Vidyalaxmi Scheme Applicants Registration.</w:t>
        </w:r>
      </w:hyperlink>
    </w:p>
    <w:p w14:paraId="47E0ABEB" w14:textId="77777777" w:rsidR="00D4084E" w:rsidRPr="00D4084E" w:rsidRDefault="00D4084E" w:rsidP="00D4084E">
      <w:pPr>
        <w:numPr>
          <w:ilvl w:val="0"/>
          <w:numId w:val="8"/>
        </w:numPr>
        <w:jc w:val="both"/>
        <w:rPr>
          <w:sz w:val="22"/>
          <w:szCs w:val="22"/>
        </w:rPr>
      </w:pPr>
      <w:hyperlink r:id="rId8" w:anchor="studentlogin" w:history="1">
        <w:r w:rsidRPr="00D4084E">
          <w:rPr>
            <w:rStyle w:val="Hyperlink"/>
            <w:sz w:val="22"/>
            <w:szCs w:val="22"/>
          </w:rPr>
          <w:t>PM Vidyalaxmi Scheme Applicants Login</w:t>
        </w:r>
      </w:hyperlink>
      <w:r w:rsidRPr="00D4084E">
        <w:rPr>
          <w:sz w:val="22"/>
          <w:szCs w:val="22"/>
        </w:rPr>
        <w:t>.</w:t>
      </w:r>
    </w:p>
    <w:p w14:paraId="113043B2" w14:textId="77777777" w:rsidR="00D4084E" w:rsidRPr="00D4084E" w:rsidRDefault="00D4084E" w:rsidP="00D4084E">
      <w:pPr>
        <w:numPr>
          <w:ilvl w:val="0"/>
          <w:numId w:val="8"/>
        </w:numPr>
        <w:jc w:val="both"/>
        <w:rPr>
          <w:sz w:val="22"/>
          <w:szCs w:val="22"/>
        </w:rPr>
      </w:pPr>
      <w:hyperlink r:id="rId9" w:history="1">
        <w:r w:rsidRPr="00D4084E">
          <w:rPr>
            <w:rStyle w:val="Hyperlink"/>
            <w:sz w:val="22"/>
            <w:szCs w:val="22"/>
          </w:rPr>
          <w:t>PM Vidyalaxmi Scheme Information</w:t>
        </w:r>
      </w:hyperlink>
      <w:r w:rsidRPr="00D4084E">
        <w:rPr>
          <w:sz w:val="22"/>
          <w:szCs w:val="22"/>
        </w:rPr>
        <w:t>.</w:t>
      </w:r>
    </w:p>
    <w:p w14:paraId="03A1B7AB" w14:textId="77777777" w:rsidR="00D4084E" w:rsidRPr="00D4084E" w:rsidRDefault="00D4084E" w:rsidP="00D4084E">
      <w:pPr>
        <w:numPr>
          <w:ilvl w:val="0"/>
          <w:numId w:val="8"/>
        </w:numPr>
        <w:jc w:val="both"/>
        <w:rPr>
          <w:sz w:val="22"/>
          <w:szCs w:val="22"/>
        </w:rPr>
      </w:pPr>
      <w:hyperlink r:id="rId10" w:history="1">
        <w:r w:rsidRPr="00D4084E">
          <w:rPr>
            <w:rStyle w:val="Hyperlink"/>
            <w:sz w:val="22"/>
            <w:szCs w:val="22"/>
          </w:rPr>
          <w:t>Vidya Lakshmi Official Portal.</w:t>
        </w:r>
      </w:hyperlink>
    </w:p>
    <w:p w14:paraId="6E0FD0D8" w14:textId="77777777" w:rsidR="00D4084E" w:rsidRPr="00D4084E" w:rsidRDefault="00D4084E" w:rsidP="00D4084E">
      <w:pPr>
        <w:numPr>
          <w:ilvl w:val="0"/>
          <w:numId w:val="8"/>
        </w:numPr>
        <w:jc w:val="both"/>
        <w:rPr>
          <w:sz w:val="22"/>
          <w:szCs w:val="22"/>
        </w:rPr>
      </w:pPr>
      <w:hyperlink r:id="rId11" w:history="1">
        <w:r w:rsidRPr="00D4084E">
          <w:rPr>
            <w:rStyle w:val="Hyperlink"/>
            <w:sz w:val="22"/>
            <w:szCs w:val="22"/>
          </w:rPr>
          <w:t>Official Portal of Ministry of Education</w:t>
        </w:r>
      </w:hyperlink>
      <w:r w:rsidRPr="00D4084E">
        <w:rPr>
          <w:sz w:val="22"/>
          <w:szCs w:val="22"/>
        </w:rPr>
        <w:t>.</w:t>
      </w:r>
    </w:p>
    <w:p w14:paraId="6FCBD15F" w14:textId="77777777" w:rsidR="00D4084E" w:rsidRPr="00D4084E" w:rsidRDefault="00D4084E" w:rsidP="00D4084E">
      <w:pPr>
        <w:numPr>
          <w:ilvl w:val="0"/>
          <w:numId w:val="8"/>
        </w:numPr>
        <w:jc w:val="both"/>
        <w:rPr>
          <w:sz w:val="22"/>
          <w:szCs w:val="22"/>
        </w:rPr>
      </w:pPr>
      <w:hyperlink r:id="rId12" w:history="1">
        <w:r w:rsidRPr="00D4084E">
          <w:rPr>
            <w:rStyle w:val="Hyperlink"/>
            <w:sz w:val="22"/>
            <w:szCs w:val="22"/>
          </w:rPr>
          <w:t xml:space="preserve">Official </w:t>
        </w:r>
        <w:proofErr w:type="spellStart"/>
        <w:r w:rsidRPr="00D4084E">
          <w:rPr>
            <w:rStyle w:val="Hyperlink"/>
            <w:sz w:val="22"/>
            <w:szCs w:val="22"/>
          </w:rPr>
          <w:t>Jansamarth</w:t>
        </w:r>
        <w:proofErr w:type="spellEnd"/>
        <w:r w:rsidRPr="00D4084E">
          <w:rPr>
            <w:rStyle w:val="Hyperlink"/>
            <w:sz w:val="22"/>
            <w:szCs w:val="22"/>
          </w:rPr>
          <w:t xml:space="preserve"> Portal</w:t>
        </w:r>
      </w:hyperlink>
      <w:r w:rsidRPr="00D4084E">
        <w:rPr>
          <w:sz w:val="22"/>
          <w:szCs w:val="22"/>
        </w:rPr>
        <w:t>.</w:t>
      </w:r>
    </w:p>
    <w:p w14:paraId="792C20B8" w14:textId="77777777" w:rsidR="00D4084E" w:rsidRPr="00D4084E" w:rsidRDefault="00D4084E" w:rsidP="00D4084E">
      <w:pPr>
        <w:jc w:val="both"/>
        <w:rPr>
          <w:b/>
          <w:bCs/>
          <w:sz w:val="22"/>
          <w:szCs w:val="22"/>
        </w:rPr>
      </w:pPr>
      <w:r w:rsidRPr="00D4084E">
        <w:rPr>
          <w:b/>
          <w:bCs/>
          <w:sz w:val="22"/>
          <w:szCs w:val="22"/>
        </w:rPr>
        <w:lastRenderedPageBreak/>
        <w:t>Contact Information</w:t>
      </w:r>
    </w:p>
    <w:p w14:paraId="2CF032BF" w14:textId="77777777" w:rsidR="00D4084E" w:rsidRPr="00D4084E" w:rsidRDefault="00D4084E" w:rsidP="00D4084E">
      <w:pPr>
        <w:numPr>
          <w:ilvl w:val="0"/>
          <w:numId w:val="9"/>
        </w:numPr>
        <w:jc w:val="both"/>
        <w:rPr>
          <w:sz w:val="22"/>
          <w:szCs w:val="22"/>
        </w:rPr>
      </w:pPr>
      <w:r w:rsidRPr="00D4084E">
        <w:rPr>
          <w:sz w:val="22"/>
          <w:szCs w:val="22"/>
        </w:rPr>
        <w:t>Vidyalaxmi Portal Helpline Number : - 020- 2567 8300</w:t>
      </w:r>
    </w:p>
    <w:p w14:paraId="15D7A5A0" w14:textId="77777777" w:rsidR="00D4084E" w:rsidRDefault="00D4084E" w:rsidP="00D4084E">
      <w:pPr>
        <w:numPr>
          <w:ilvl w:val="0"/>
          <w:numId w:val="9"/>
        </w:numPr>
        <w:jc w:val="both"/>
        <w:rPr>
          <w:sz w:val="22"/>
          <w:szCs w:val="22"/>
        </w:rPr>
      </w:pPr>
      <w:r w:rsidRPr="00D4084E">
        <w:rPr>
          <w:sz w:val="22"/>
          <w:szCs w:val="22"/>
        </w:rPr>
        <w:t>Vidyalaxmi Portal Email Helpdesk : - vidyalakshmi@proteantech.in</w:t>
      </w:r>
    </w:p>
    <w:p w14:paraId="1E05BC03" w14:textId="77777777" w:rsidR="00D4084E" w:rsidRPr="00D4084E" w:rsidRDefault="00D4084E" w:rsidP="00D4084E">
      <w:pPr>
        <w:ind w:left="360"/>
        <w:jc w:val="both"/>
        <w:rPr>
          <w:sz w:val="22"/>
          <w:szCs w:val="22"/>
        </w:rPr>
      </w:pPr>
    </w:p>
    <w:p w14:paraId="084DD40A" w14:textId="77777777" w:rsidR="00D4084E" w:rsidRPr="00D4084E" w:rsidRDefault="00D4084E" w:rsidP="00D4084E">
      <w:pPr>
        <w:jc w:val="both"/>
        <w:rPr>
          <w:sz w:val="22"/>
          <w:szCs w:val="22"/>
        </w:rPr>
      </w:pPr>
    </w:p>
    <w:sectPr w:rsidR="00D4084E" w:rsidRPr="00D40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0AF6"/>
    <w:multiLevelType w:val="multilevel"/>
    <w:tmpl w:val="3DCAE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11C0D"/>
    <w:multiLevelType w:val="multilevel"/>
    <w:tmpl w:val="8BC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934D9"/>
    <w:multiLevelType w:val="multilevel"/>
    <w:tmpl w:val="4A76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4146F"/>
    <w:multiLevelType w:val="multilevel"/>
    <w:tmpl w:val="20F82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7599B"/>
    <w:multiLevelType w:val="multilevel"/>
    <w:tmpl w:val="A080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E57DF"/>
    <w:multiLevelType w:val="multilevel"/>
    <w:tmpl w:val="B016D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1C4026"/>
    <w:multiLevelType w:val="multilevel"/>
    <w:tmpl w:val="6550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375D8"/>
    <w:multiLevelType w:val="multilevel"/>
    <w:tmpl w:val="81A4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86506F"/>
    <w:multiLevelType w:val="multilevel"/>
    <w:tmpl w:val="F39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3467">
    <w:abstractNumId w:val="6"/>
  </w:num>
  <w:num w:numId="2" w16cid:durableId="1571574101">
    <w:abstractNumId w:val="1"/>
  </w:num>
  <w:num w:numId="3" w16cid:durableId="450129704">
    <w:abstractNumId w:val="0"/>
  </w:num>
  <w:num w:numId="4" w16cid:durableId="2100563824">
    <w:abstractNumId w:val="2"/>
  </w:num>
  <w:num w:numId="5" w16cid:durableId="1497182974">
    <w:abstractNumId w:val="8"/>
  </w:num>
  <w:num w:numId="6" w16cid:durableId="882135997">
    <w:abstractNumId w:val="5"/>
  </w:num>
  <w:num w:numId="7" w16cid:durableId="41291381">
    <w:abstractNumId w:val="3"/>
  </w:num>
  <w:num w:numId="8" w16cid:durableId="296840091">
    <w:abstractNumId w:val="7"/>
  </w:num>
  <w:num w:numId="9" w16cid:durableId="205522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4E"/>
    <w:rsid w:val="00D4084E"/>
    <w:rsid w:val="00E54E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3E60"/>
  <w15:chartTrackingRefBased/>
  <w15:docId w15:val="{193D5ED2-AA3F-43FB-8639-5CB6AC1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0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40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0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40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84E"/>
    <w:rPr>
      <w:rFonts w:eastAsiaTheme="majorEastAsia" w:cstheme="majorBidi"/>
      <w:color w:val="272727" w:themeColor="text1" w:themeTint="D8"/>
    </w:rPr>
  </w:style>
  <w:style w:type="paragraph" w:styleId="Title">
    <w:name w:val="Title"/>
    <w:basedOn w:val="Normal"/>
    <w:next w:val="Normal"/>
    <w:link w:val="TitleChar"/>
    <w:uiPriority w:val="10"/>
    <w:qFormat/>
    <w:rsid w:val="00D40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84E"/>
    <w:pPr>
      <w:spacing w:before="160"/>
      <w:jc w:val="center"/>
    </w:pPr>
    <w:rPr>
      <w:i/>
      <w:iCs/>
      <w:color w:val="404040" w:themeColor="text1" w:themeTint="BF"/>
    </w:rPr>
  </w:style>
  <w:style w:type="character" w:customStyle="1" w:styleId="QuoteChar">
    <w:name w:val="Quote Char"/>
    <w:basedOn w:val="DefaultParagraphFont"/>
    <w:link w:val="Quote"/>
    <w:uiPriority w:val="29"/>
    <w:rsid w:val="00D4084E"/>
    <w:rPr>
      <w:i/>
      <w:iCs/>
      <w:color w:val="404040" w:themeColor="text1" w:themeTint="BF"/>
    </w:rPr>
  </w:style>
  <w:style w:type="paragraph" w:styleId="ListParagraph">
    <w:name w:val="List Paragraph"/>
    <w:basedOn w:val="Normal"/>
    <w:uiPriority w:val="34"/>
    <w:qFormat/>
    <w:rsid w:val="00D4084E"/>
    <w:pPr>
      <w:ind w:left="720"/>
      <w:contextualSpacing/>
    </w:pPr>
  </w:style>
  <w:style w:type="character" w:styleId="IntenseEmphasis">
    <w:name w:val="Intense Emphasis"/>
    <w:basedOn w:val="DefaultParagraphFont"/>
    <w:uiPriority w:val="21"/>
    <w:qFormat/>
    <w:rsid w:val="00D4084E"/>
    <w:rPr>
      <w:i/>
      <w:iCs/>
      <w:color w:val="0F4761" w:themeColor="accent1" w:themeShade="BF"/>
    </w:rPr>
  </w:style>
  <w:style w:type="paragraph" w:styleId="IntenseQuote">
    <w:name w:val="Intense Quote"/>
    <w:basedOn w:val="Normal"/>
    <w:next w:val="Normal"/>
    <w:link w:val="IntenseQuoteChar"/>
    <w:uiPriority w:val="30"/>
    <w:qFormat/>
    <w:rsid w:val="00D40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84E"/>
    <w:rPr>
      <w:i/>
      <w:iCs/>
      <w:color w:val="0F4761" w:themeColor="accent1" w:themeShade="BF"/>
    </w:rPr>
  </w:style>
  <w:style w:type="character" w:styleId="IntenseReference">
    <w:name w:val="Intense Reference"/>
    <w:basedOn w:val="DefaultParagraphFont"/>
    <w:uiPriority w:val="32"/>
    <w:qFormat/>
    <w:rsid w:val="00D4084E"/>
    <w:rPr>
      <w:b/>
      <w:bCs/>
      <w:smallCaps/>
      <w:color w:val="0F4761" w:themeColor="accent1" w:themeShade="BF"/>
      <w:spacing w:val="5"/>
    </w:rPr>
  </w:style>
  <w:style w:type="character" w:styleId="Hyperlink">
    <w:name w:val="Hyperlink"/>
    <w:basedOn w:val="DefaultParagraphFont"/>
    <w:uiPriority w:val="99"/>
    <w:unhideWhenUsed/>
    <w:rsid w:val="00D4084E"/>
    <w:rPr>
      <w:color w:val="467886" w:themeColor="hyperlink"/>
      <w:u w:val="single"/>
    </w:rPr>
  </w:style>
  <w:style w:type="character" w:styleId="UnresolvedMention">
    <w:name w:val="Unresolved Mention"/>
    <w:basedOn w:val="DefaultParagraphFont"/>
    <w:uiPriority w:val="99"/>
    <w:semiHidden/>
    <w:unhideWhenUsed/>
    <w:rsid w:val="00D4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993872">
      <w:bodyDiv w:val="1"/>
      <w:marLeft w:val="0"/>
      <w:marRight w:val="0"/>
      <w:marTop w:val="0"/>
      <w:marBottom w:val="0"/>
      <w:divBdr>
        <w:top w:val="none" w:sz="0" w:space="0" w:color="auto"/>
        <w:left w:val="none" w:sz="0" w:space="0" w:color="auto"/>
        <w:bottom w:val="none" w:sz="0" w:space="0" w:color="auto"/>
        <w:right w:val="none" w:sz="0" w:space="0" w:color="auto"/>
      </w:divBdr>
    </w:div>
    <w:div w:id="1153722600">
      <w:bodyDiv w:val="1"/>
      <w:marLeft w:val="0"/>
      <w:marRight w:val="0"/>
      <w:marTop w:val="0"/>
      <w:marBottom w:val="0"/>
      <w:divBdr>
        <w:top w:val="none" w:sz="0" w:space="0" w:color="auto"/>
        <w:left w:val="none" w:sz="0" w:space="0" w:color="auto"/>
        <w:bottom w:val="none" w:sz="0" w:space="0" w:color="auto"/>
        <w:right w:val="none" w:sz="0" w:space="0" w:color="auto"/>
      </w:divBdr>
    </w:div>
    <w:div w:id="1253778571">
      <w:bodyDiv w:val="1"/>
      <w:marLeft w:val="0"/>
      <w:marRight w:val="0"/>
      <w:marTop w:val="0"/>
      <w:marBottom w:val="0"/>
      <w:divBdr>
        <w:top w:val="none" w:sz="0" w:space="0" w:color="auto"/>
        <w:left w:val="none" w:sz="0" w:space="0" w:color="auto"/>
        <w:bottom w:val="none" w:sz="0" w:space="0" w:color="auto"/>
        <w:right w:val="none" w:sz="0" w:space="0" w:color="auto"/>
      </w:divBdr>
    </w:div>
    <w:div w:id="1378502928">
      <w:bodyDiv w:val="1"/>
      <w:marLeft w:val="0"/>
      <w:marRight w:val="0"/>
      <w:marTop w:val="0"/>
      <w:marBottom w:val="0"/>
      <w:divBdr>
        <w:top w:val="none" w:sz="0" w:space="0" w:color="auto"/>
        <w:left w:val="none" w:sz="0" w:space="0" w:color="auto"/>
        <w:bottom w:val="none" w:sz="0" w:space="0" w:color="auto"/>
        <w:right w:val="none" w:sz="0" w:space="0" w:color="auto"/>
      </w:divBdr>
    </w:div>
    <w:div w:id="1527595957">
      <w:bodyDiv w:val="1"/>
      <w:marLeft w:val="0"/>
      <w:marRight w:val="0"/>
      <w:marTop w:val="0"/>
      <w:marBottom w:val="0"/>
      <w:divBdr>
        <w:top w:val="none" w:sz="0" w:space="0" w:color="auto"/>
        <w:left w:val="none" w:sz="0" w:space="0" w:color="auto"/>
        <w:bottom w:val="none" w:sz="0" w:space="0" w:color="auto"/>
        <w:right w:val="none" w:sz="0" w:space="0" w:color="auto"/>
      </w:divBdr>
    </w:div>
    <w:div w:id="1671830172">
      <w:bodyDiv w:val="1"/>
      <w:marLeft w:val="0"/>
      <w:marRight w:val="0"/>
      <w:marTop w:val="0"/>
      <w:marBottom w:val="0"/>
      <w:divBdr>
        <w:top w:val="none" w:sz="0" w:space="0" w:color="auto"/>
        <w:left w:val="none" w:sz="0" w:space="0" w:color="auto"/>
        <w:bottom w:val="none" w:sz="0" w:space="0" w:color="auto"/>
        <w:right w:val="none" w:sz="0" w:space="0" w:color="auto"/>
      </w:divBdr>
    </w:div>
    <w:div w:id="1921788443">
      <w:bodyDiv w:val="1"/>
      <w:marLeft w:val="0"/>
      <w:marRight w:val="0"/>
      <w:marTop w:val="0"/>
      <w:marBottom w:val="0"/>
      <w:divBdr>
        <w:top w:val="none" w:sz="0" w:space="0" w:color="auto"/>
        <w:left w:val="none" w:sz="0" w:space="0" w:color="auto"/>
        <w:bottom w:val="none" w:sz="0" w:space="0" w:color="auto"/>
        <w:right w:val="none" w:sz="0" w:space="0" w:color="auto"/>
      </w:divBdr>
    </w:div>
    <w:div w:id="19989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yalakshmi.co.in/Students/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dyalakshmi.co.in/Students/signup" TargetMode="External"/><Relationship Id="rId12" Type="http://schemas.openxmlformats.org/officeDocument/2006/relationships/hyperlink" Target="https://www.jansamarth.i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yalakshmi.co.in/Students/index" TargetMode="External"/><Relationship Id="rId11" Type="http://schemas.openxmlformats.org/officeDocument/2006/relationships/hyperlink" Target="https://www.education.gov.in/" TargetMode="External"/><Relationship Id="rId5" Type="http://schemas.openxmlformats.org/officeDocument/2006/relationships/hyperlink" Target="https://www.vidyalakshmi.co.in/Students/index" TargetMode="External"/><Relationship Id="rId10" Type="http://schemas.openxmlformats.org/officeDocument/2006/relationships/hyperlink" Target="https://www.vidyalakshmi.co.in/Students/index" TargetMode="External"/><Relationship Id="rId4" Type="http://schemas.openxmlformats.org/officeDocument/2006/relationships/webSettings" Target="webSettings.xml"/><Relationship Id="rId9" Type="http://schemas.openxmlformats.org/officeDocument/2006/relationships/hyperlink" Target="https://popularschemes.com/sites/default/files/2024-11/PM%20Vidyalaxmi%20Scheme%20Details.pdf?v=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SHARMA</dc:creator>
  <cp:keywords/>
  <dc:description/>
  <cp:lastModifiedBy>PUNEET SHARMA</cp:lastModifiedBy>
  <cp:revision>1</cp:revision>
  <dcterms:created xsi:type="dcterms:W3CDTF">2025-05-27T12:42:00Z</dcterms:created>
  <dcterms:modified xsi:type="dcterms:W3CDTF">2025-05-27T12:56:00Z</dcterms:modified>
</cp:coreProperties>
</file>